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color w:val="auto"/>
        </w:rPr>
      </w:pPr>
      <w:bookmarkStart w:id="0" w:name="_Toc12813"/>
      <w:r>
        <w:rPr>
          <w:rFonts w:hint="eastAsia"/>
          <w:color w:val="auto"/>
        </w:rPr>
        <w:t>动火申请审批表</w:t>
      </w:r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140"/>
        <w:gridCol w:w="1085"/>
        <w:gridCol w:w="541"/>
        <w:gridCol w:w="1148"/>
        <w:gridCol w:w="1924"/>
        <w:gridCol w:w="261"/>
        <w:gridCol w:w="281"/>
        <w:gridCol w:w="541"/>
        <w:gridCol w:w="179"/>
        <w:gridCol w:w="63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bookmarkStart w:id="1" w:name="_GoBack"/>
            <w:r>
              <w:rPr>
                <w:rFonts w:hint="eastAsia" w:ascii="Times New Roman" w:hAnsi="Times New Roman" w:eastAsia="宋体"/>
                <w:color w:val="auto"/>
              </w:rPr>
              <w:t>施工单位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8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工程名称</w:t>
            </w:r>
          </w:p>
        </w:tc>
        <w:tc>
          <w:tcPr>
            <w:tcW w:w="1275" w:type="pct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auto"/>
                <w:spacing w:val="-8"/>
              </w:rPr>
            </w:pPr>
          </w:p>
        </w:tc>
        <w:tc>
          <w:tcPr>
            <w:tcW w:w="3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动火部位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2153" w:type="pct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动火须知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动火前“八不”：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防火、灭火措施没落实不动火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周围的杂物和易燃物品、危险品未清除不动火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附近难以移动的易燃结构物未采取安全防范措施不动火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凡盛装过油类等易燃、可燃液体的容器、管道用后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清洗干净不动火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在进行高空焊割作业时，未清除地面的可燃物品和采取相应防护措施不动火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储存易燃易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爆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物品的仓库、车间和场所未采取安全措施，危险性未排除不动火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没有配备灭火器材或器材不足不动火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现场安全负责人不在场不动火。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动火中“四要”：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现场监护人员要坚守岗位，动火人员须持有特种作业人员操作证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现场安全负责人和动火作业人员要加强观察、精心操作，发现不安全苗头时，立即停止动火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一旦发生火灾或爆炸事故时要立即报警和组织扑救</w:t>
            </w: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动火作业人员要严格执行安全操作规程。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10"/>
                <w:sz w:val="21"/>
                <w:szCs w:val="21"/>
              </w:rPr>
              <w:t>动火后“一清”：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完成动火作业后，动火人员和现场责任人要彻底清理动火作业现场，并确认无误后才能离开。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动火人必须持有特种作业人员操作证、动火许可证，严格按操作规程动火。动火人要严格按照申请的动火时间和动火地点进行动火作业。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动火人要在动火作业前对安全防护用具和动火工具进行检查，确保安全可靠。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现场监管人员务必随身携带《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大连海洋大学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施工现场动火申请审批表》，便于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保卫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处现场查验。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二级单位主管领导根据“谁动火，谁负责和谁动火，谁管理”的安全管理原则，对动火作业承担相应责任。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pacing w:val="-10"/>
                <w:sz w:val="22"/>
                <w:szCs w:val="18"/>
              </w:rPr>
            </w:pPr>
            <w:r>
              <w:rPr>
                <w:rFonts w:hint="default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1"/>
                <w:szCs w:val="21"/>
              </w:rPr>
              <w:t>动火审批手续只限一处一次有效，不可重复使用。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动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 xml:space="preserve">火 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方式</w:t>
            </w:r>
          </w:p>
        </w:tc>
        <w:tc>
          <w:tcPr>
            <w:tcW w:w="1275" w:type="pct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明火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□电焊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气焊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□气割 </w:t>
            </w:r>
          </w:p>
          <w:p>
            <w:pPr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其它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动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火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时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间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ind w:firstLine="840" w:firstLineChars="4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年    月    日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至</w:t>
            </w:r>
          </w:p>
          <w:p>
            <w:pPr>
              <w:ind w:firstLine="840" w:firstLineChars="4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防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火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措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施</w:t>
            </w:r>
          </w:p>
        </w:tc>
        <w:tc>
          <w:tcPr>
            <w:tcW w:w="2655" w:type="pct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□灭火器     □水桶     □隔离挡板    □防火毯    □黄沙</w:t>
            </w:r>
          </w:p>
          <w:p>
            <w:pPr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□其它（注明防火措施）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19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批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见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施工方</w:t>
            </w:r>
          </w:p>
        </w:tc>
        <w:tc>
          <w:tcPr>
            <w:tcW w:w="1124" w:type="pct"/>
            <w:gridSpan w:val="5"/>
            <w:noWrap w:val="0"/>
            <w:vAlign w:val="center"/>
          </w:tcPr>
          <w:p>
            <w:pPr>
              <w:ind w:right="42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批准人签名：                         </w:t>
            </w:r>
          </w:p>
        </w:tc>
        <w:tc>
          <w:tcPr>
            <w:tcW w:w="1124" w:type="pct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公  章</w:t>
            </w:r>
          </w:p>
          <w:p>
            <w:pPr>
              <w:ind w:right="420"/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年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19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监理方</w:t>
            </w:r>
          </w:p>
        </w:tc>
        <w:tc>
          <w:tcPr>
            <w:tcW w:w="1124" w:type="pct"/>
            <w:gridSpan w:val="5"/>
            <w:noWrap w:val="0"/>
            <w:vAlign w:val="center"/>
          </w:tcPr>
          <w:p>
            <w:pPr>
              <w:ind w:right="420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批准人签名：</w:t>
            </w:r>
          </w:p>
        </w:tc>
        <w:tc>
          <w:tcPr>
            <w:tcW w:w="1124" w:type="pct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公  章</w:t>
            </w:r>
          </w:p>
          <w:p>
            <w:pPr>
              <w:ind w:right="420" w:firstLine="630" w:firstLineChars="300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年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19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</w:rPr>
              <w:t>管理单位</w:t>
            </w:r>
          </w:p>
        </w:tc>
        <w:tc>
          <w:tcPr>
            <w:tcW w:w="1124" w:type="pct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批准人签名：        </w:t>
            </w:r>
          </w:p>
        </w:tc>
        <w:tc>
          <w:tcPr>
            <w:tcW w:w="1124" w:type="pct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公  章</w:t>
            </w:r>
          </w:p>
          <w:p>
            <w:pPr>
              <w:ind w:firstLine="630" w:firstLineChars="300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年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19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  <w:lang w:val="en-US" w:eastAsia="zh-CN"/>
              </w:rPr>
              <w:t>保卫</w:t>
            </w:r>
            <w:r>
              <w:rPr>
                <w:rFonts w:hint="eastAsia" w:ascii="Times New Roman" w:hAnsi="Times New Roman" w:eastAsia="宋体"/>
                <w:color w:val="auto"/>
              </w:rPr>
              <w:t>处</w:t>
            </w:r>
          </w:p>
        </w:tc>
        <w:tc>
          <w:tcPr>
            <w:tcW w:w="1124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批准人签名：        </w:t>
            </w:r>
          </w:p>
        </w:tc>
        <w:tc>
          <w:tcPr>
            <w:tcW w:w="1124" w:type="pct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公  章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年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动火人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57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操作证号码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监护人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57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申请日期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5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申请动火人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57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联系电话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/>
          <w:color w:val="auto"/>
        </w:rPr>
        <w:t>注：本表一式4份，</w:t>
      </w:r>
      <w:r>
        <w:rPr>
          <w:rFonts w:hint="eastAsia" w:ascii="Times New Roman" w:hAnsi="Times New Roman" w:eastAsia="宋体"/>
          <w:color w:val="auto"/>
          <w:lang w:val="en-US" w:eastAsia="zh-CN"/>
        </w:rPr>
        <w:t>施工方</w:t>
      </w:r>
      <w:r>
        <w:rPr>
          <w:rFonts w:hint="eastAsia" w:ascii="Times New Roman" w:hAnsi="Times New Roman" w:eastAsia="宋体"/>
          <w:color w:val="auto"/>
        </w:rPr>
        <w:t>、</w:t>
      </w:r>
      <w:r>
        <w:rPr>
          <w:rFonts w:hint="eastAsia" w:ascii="Times New Roman" w:hAnsi="Times New Roman" w:eastAsia="宋体"/>
          <w:color w:val="auto"/>
          <w:lang w:val="en-US" w:eastAsia="zh-CN"/>
        </w:rPr>
        <w:t>监理方</w:t>
      </w:r>
      <w:r>
        <w:rPr>
          <w:rFonts w:hint="eastAsia" w:ascii="Times New Roman" w:hAnsi="Times New Roman" w:eastAsia="宋体"/>
          <w:color w:val="auto"/>
        </w:rPr>
        <w:t>、甲方代表、</w:t>
      </w:r>
      <w:r>
        <w:rPr>
          <w:rFonts w:hint="eastAsia" w:ascii="Times New Roman" w:hAnsi="Times New Roman" w:eastAsia="宋体"/>
          <w:color w:val="auto"/>
          <w:lang w:eastAsia="zh-CN"/>
        </w:rPr>
        <w:t>保卫</w:t>
      </w:r>
      <w:r>
        <w:rPr>
          <w:rFonts w:hint="eastAsia" w:ascii="Times New Roman" w:hAnsi="Times New Roman" w:eastAsia="宋体"/>
          <w:color w:val="auto"/>
        </w:rPr>
        <w:t>处各1份</w:t>
      </w:r>
      <w:r>
        <w:rPr>
          <w:rFonts w:hint="eastAsia" w:ascii="Times New Roman" w:hAnsi="Times New Roman" w:eastAsia="宋体"/>
          <w:color w:val="auto"/>
          <w:lang w:eastAsia="zh-CN"/>
        </w:rPr>
        <w:t>。</w:t>
      </w:r>
    </w:p>
    <w:sectPr>
      <w:pgSz w:w="16838" w:h="11906" w:orient="landscape"/>
      <w:pgMar w:top="720" w:right="1440" w:bottom="7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2BD4"/>
    <w:rsid w:val="469F4D4F"/>
    <w:rsid w:val="6B732BD4"/>
    <w:rsid w:val="739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黑体" w:hAnsi="黑体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2024-05-13T08:16:00Z</dcterms:created>
  <dc:creator>再睡一夏</dc:creator>
  <cp:lastModifiedBy>再睡一夏</cp:lastModifiedBy>
  <dcterms:modified xsi:type="dcterms:W3CDTF">2024-05-15T02:04:32Z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